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海口市社会科学界联合会</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海口市社会科学界联合会围绕做好社科规划、社科评奖、社会组织管理、社科普及、理论研究、人才培养等方面工作，在繁荣发展海口</w:t>
      </w:r>
      <w:r>
        <w:rPr>
          <w:rFonts w:hint="eastAsia" w:ascii="仿宋_GB2312" w:hAnsi="仿宋_GB2312" w:eastAsia="仿宋_GB2312" w:cs="仿宋_GB2312"/>
          <w:sz w:val="32"/>
          <w:szCs w:val="32"/>
          <w:lang w:eastAsia="zh-CN"/>
        </w:rPr>
        <w:t>哲学社会科学事业中担负着重要职能职责。</w:t>
      </w:r>
    </w:p>
    <w:p>
      <w:pPr>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发挥桥梁和纽带作用，增强社科联工作的政治性和先进性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（二）发挥思想智库、智囊团作用，增强社科联工作的专业性和创造性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（三）加强哲学社会科学专家库建设，增强社科联工作的引领性和包容性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（四）提供公共精神文化产品，增强社科联工作的公共性和社会性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（五）加强社科类社会组织孵化和业务指导，增强社科联工作的群众性和服务性</w:t>
      </w:r>
    </w:p>
    <w:p>
      <w:pPr>
        <w:adjustRightInd w:val="0"/>
        <w:snapToGrid w:val="0"/>
        <w:spacing w:line="600" w:lineRule="exact"/>
        <w:ind w:firstLine="640" w:firstLineChars="200"/>
        <w:outlineLvl w:val="9"/>
        <w:rPr>
          <w:rFonts w:hint="eastAsia" w:ascii="黑体" w:hAnsi="黑体" w:eastAsia="黑体"/>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黑体"/>
          <w:kern w:val="2"/>
          <w:sz w:val="32"/>
          <w:szCs w:val="32"/>
          <w:shd w:val="clear"/>
          <w:lang w:val="en-US" w:eastAsia="zh-CN" w:bidi="ar"/>
        </w:rPr>
        <w:t>内设办公室和学术学会部。</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bookmarkStart w:id="0" w:name="_GoBack"/>
      <w:bookmarkEnd w:id="0"/>
    </w:p>
    <w:p>
      <w:pPr>
        <w:ind w:left="800"/>
        <w:jc w:val="left"/>
        <w:rPr>
          <w:rFonts w:ascii="黑体" w:hAnsi="黑体" w:eastAsia="黑体"/>
          <w:sz w:val="32"/>
          <w:szCs w:val="32"/>
        </w:rPr>
      </w:pPr>
    </w:p>
    <w:p>
      <w:pPr>
        <w:ind w:left="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宋体" w:eastAsia="仿宋_GB2312" w:cs="宋体"/>
          <w:color w:val="000000"/>
          <w:kern w:val="0"/>
          <w:sz w:val="32"/>
          <w:szCs w:val="30"/>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w:t>
      </w:r>
      <w:r>
        <w:rPr>
          <w:rFonts w:hint="eastAsia" w:ascii="仿宋_GB2312" w:hAnsi="黑体" w:eastAsia="仿宋_GB2312"/>
          <w:sz w:val="32"/>
          <w:szCs w:val="32"/>
          <w:lang w:eastAsia="zh-CN"/>
        </w:rPr>
        <w:t>科学技术支出</w:t>
      </w:r>
      <w:r>
        <w:rPr>
          <w:rFonts w:hint="eastAsia" w:ascii="仿宋_GB2312" w:hAnsi="黑体" w:eastAsia="仿宋_GB2312"/>
          <w:sz w:val="32"/>
          <w:szCs w:val="32"/>
          <w:lang w:val="en-US" w:eastAsia="zh-CN"/>
        </w:rPr>
        <w:t>302.74万元</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37.88万元、卫生健康支出26.1万元、住房保障支出17.09万元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宋体" w:eastAsia="仿宋_GB2312" w:cs="宋体"/>
          <w:color w:val="000000"/>
          <w:kern w:val="0"/>
          <w:sz w:val="32"/>
          <w:szCs w:val="30"/>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科学技术支出增加。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2.04</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302.74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77.27</w:t>
      </w:r>
      <w:r>
        <w:rPr>
          <w:rFonts w:hint="eastAsia" w:ascii="仿宋_GB2312" w:hAnsi="黑体" w:eastAsia="仿宋_GB2312"/>
          <w:sz w:val="32"/>
          <w:szCs w:val="32"/>
        </w:rPr>
        <w:t>%；</w:t>
      </w:r>
      <w:r>
        <w:rPr>
          <w:rFonts w:hint="eastAsia" w:ascii="仿宋_GB2312" w:hAnsi="黑体" w:eastAsia="仿宋_GB2312"/>
          <w:color w:val="333333"/>
          <w:sz w:val="32"/>
          <w:szCs w:val="32"/>
          <w:lang w:val="en-US" w:eastAsia="zh-CN"/>
        </w:rPr>
        <w:t>社会保障和就业</w:t>
      </w:r>
      <w:r>
        <w:rPr>
          <w:rFonts w:hint="eastAsia" w:ascii="仿宋_GB2312" w:hAnsi="黑体" w:eastAsia="仿宋_GB2312" w:cs="仿宋_GB2312"/>
          <w:color w:val="333333"/>
          <w:sz w:val="32"/>
          <w:szCs w:val="32"/>
        </w:rPr>
        <w:t>（类）支出</w:t>
      </w:r>
      <w:r>
        <w:rPr>
          <w:rFonts w:hint="eastAsia" w:ascii="仿宋_GB2312" w:hAnsi="黑体" w:eastAsia="仿宋_GB2312" w:cs="仿宋_GB2312"/>
          <w:color w:val="333333"/>
          <w:sz w:val="32"/>
          <w:szCs w:val="32"/>
          <w:lang w:val="en-US" w:eastAsia="zh-CN"/>
        </w:rPr>
        <w:t>37.88</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9.67</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卫生健康</w:t>
      </w:r>
      <w:r>
        <w:rPr>
          <w:rFonts w:hint="eastAsia" w:ascii="仿宋_GB2312" w:hAnsi="黑体" w:eastAsia="仿宋_GB2312"/>
          <w:color w:val="333333"/>
          <w:sz w:val="32"/>
          <w:szCs w:val="32"/>
        </w:rPr>
        <w:t>（类）</w:t>
      </w:r>
      <w:r>
        <w:rPr>
          <w:rFonts w:hint="eastAsia" w:ascii="仿宋_GB2312" w:hAnsi="黑体" w:eastAsia="仿宋_GB2312" w:cs="仿宋_GB2312"/>
          <w:color w:val="333333"/>
          <w:sz w:val="32"/>
          <w:szCs w:val="32"/>
        </w:rPr>
        <w:t>支出</w:t>
      </w:r>
      <w:r>
        <w:rPr>
          <w:rFonts w:hint="eastAsia" w:ascii="仿宋_GB2312" w:hAnsi="黑体" w:eastAsia="仿宋_GB2312" w:cs="仿宋_GB2312"/>
          <w:color w:val="333333"/>
          <w:sz w:val="32"/>
          <w:szCs w:val="32"/>
          <w:lang w:val="en-US" w:eastAsia="zh-CN"/>
        </w:rPr>
        <w:t>26.1</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6.66</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住房保障</w:t>
      </w:r>
      <w:r>
        <w:rPr>
          <w:rFonts w:hint="eastAsia" w:ascii="仿宋_GB2312" w:hAnsi="黑体" w:eastAsia="仿宋_GB2312"/>
          <w:color w:val="333333"/>
          <w:sz w:val="32"/>
          <w:szCs w:val="32"/>
        </w:rPr>
        <w:t>（类）</w:t>
      </w:r>
      <w:r>
        <w:rPr>
          <w:rFonts w:hint="eastAsia" w:ascii="仿宋_GB2312" w:hAnsi="黑体" w:eastAsia="仿宋_GB2312" w:cs="仿宋_GB2312"/>
          <w:color w:val="333333"/>
          <w:sz w:val="32"/>
          <w:szCs w:val="32"/>
        </w:rPr>
        <w:t>支出</w:t>
      </w:r>
      <w:r>
        <w:rPr>
          <w:rFonts w:hint="eastAsia" w:ascii="仿宋_GB2312" w:hAnsi="黑体" w:eastAsia="仿宋_GB2312" w:cs="仿宋_GB2312"/>
          <w:color w:val="333333"/>
          <w:sz w:val="32"/>
          <w:szCs w:val="32"/>
          <w:lang w:val="en-US" w:eastAsia="zh-CN"/>
        </w:rPr>
        <w:t>17.09</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4.36</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1.一般公共服务（类）人大事务（款）其他组织事务支出（项）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保障组织开展活动支出较上年有所增加。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 xml:space="preserve">182.74 </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新增人员和职级调整。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（类）</w:t>
      </w:r>
      <w:r>
        <w:rPr>
          <w:rFonts w:hint="eastAsia" w:ascii="仿宋_GB2312" w:hAnsi="黑体" w:eastAsia="仿宋_GB2312" w:cs="仿宋_GB2312"/>
          <w:color w:val="auto"/>
          <w:sz w:val="32"/>
          <w:szCs w:val="32"/>
          <w:lang w:eastAsia="zh-CN"/>
        </w:rPr>
        <w:t>社会科学</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社会科学研究机构</w:t>
      </w:r>
      <w:r>
        <w:rPr>
          <w:rFonts w:hint="eastAsia" w:ascii="仿宋_GB2312" w:hAnsi="黑体" w:eastAsia="仿宋_GB2312" w:cs="仿宋_GB2312"/>
          <w:color w:val="auto"/>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项目经费支出有所减少。</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机关事业单位基本养老保险缴费</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21.25 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3.95万元</w:t>
      </w:r>
      <w:r>
        <w:rPr>
          <w:rFonts w:hint="eastAsia" w:ascii="仿宋_GB2312" w:hAnsi="黑体" w:eastAsia="仿宋_GB2312" w:cs="仿宋_GB2312"/>
          <w:sz w:val="32"/>
          <w:szCs w:val="32"/>
          <w:lang w:eastAsia="zh-CN"/>
        </w:rPr>
        <w:t>，主要是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机关事业单位职业年金保险缴费</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10.63 8.65万元，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1.98万元</w:t>
      </w:r>
      <w:r>
        <w:rPr>
          <w:rFonts w:hint="eastAsia" w:ascii="仿宋_GB2312" w:hAnsi="黑体" w:eastAsia="仿宋_GB2312" w:cs="仿宋_GB2312"/>
          <w:sz w:val="32"/>
          <w:szCs w:val="32"/>
          <w:lang w:eastAsia="zh-CN"/>
        </w:rPr>
        <w:t>，主要是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其他行政事业单位养老</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0.2万元</w:t>
      </w:r>
      <w:r>
        <w:rPr>
          <w:rFonts w:hint="eastAsia" w:ascii="仿宋_GB2312" w:hAnsi="黑体" w:eastAsia="仿宋_GB2312" w:cs="仿宋_GB2312"/>
          <w:sz w:val="32"/>
          <w:szCs w:val="32"/>
          <w:lang w:eastAsia="zh-CN"/>
        </w:rPr>
        <w:t>，主要是退休人员较去年增加</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11.46</w:t>
      </w:r>
      <w:r>
        <w:rPr>
          <w:rFonts w:hint="eastAsia" w:ascii="仿宋_GB2312" w:hAnsi="黑体" w:eastAsia="仿宋_GB2312"/>
          <w:color w:val="auto"/>
          <w:sz w:val="32"/>
          <w:szCs w:val="32"/>
        </w:rPr>
        <w:t>万元，比上年预算数</w:t>
      </w:r>
      <w:r>
        <w:rPr>
          <w:rFonts w:hint="eastAsia" w:ascii="仿宋_GB2312" w:hAnsi="黑体" w:eastAsia="仿宋_GB2312" w:cs="仿宋_GB2312"/>
          <w:sz w:val="32"/>
          <w:szCs w:val="32"/>
          <w:lang w:eastAsia="zh-CN"/>
        </w:rPr>
        <w:t>持平，主要是该项经费无需增加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公务员医疗补助</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 xml:space="preserve">14.24 </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1.39万</w:t>
      </w:r>
      <w:r>
        <w:rPr>
          <w:rFonts w:hint="eastAsia" w:ascii="仿宋_GB2312" w:hAnsi="黑体" w:eastAsia="仿宋_GB2312"/>
          <w:color w:val="auto"/>
          <w:sz w:val="32"/>
          <w:szCs w:val="32"/>
        </w:rPr>
        <w:t>元，主要是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0.4</w:t>
      </w:r>
      <w:r>
        <w:rPr>
          <w:rFonts w:hint="eastAsia" w:ascii="仿宋_GB2312" w:hAnsi="黑体" w:eastAsia="仿宋_GB2312"/>
          <w:color w:val="auto"/>
          <w:sz w:val="32"/>
          <w:szCs w:val="32"/>
        </w:rPr>
        <w:t>万元，比上年预算数</w:t>
      </w:r>
      <w:r>
        <w:rPr>
          <w:rFonts w:hint="eastAsia" w:ascii="仿宋_GB2312" w:hAnsi="黑体" w:eastAsia="仿宋_GB2312" w:cs="仿宋_GB2312"/>
          <w:sz w:val="32"/>
          <w:szCs w:val="32"/>
          <w:lang w:eastAsia="zh-CN"/>
        </w:rPr>
        <w:t>持平，主要是该项经费无需增加</w:t>
      </w:r>
      <w:r>
        <w:rPr>
          <w:rFonts w:hint="eastAsia" w:ascii="仿宋_GB2312" w:hAnsi="黑体" w:eastAsia="仿宋_GB2312"/>
          <w:color w:val="auto"/>
          <w:sz w:val="32"/>
          <w:szCs w:val="32"/>
          <w:lang w:eastAsia="zh-CN"/>
        </w:rPr>
        <w:t>。</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cs="仿宋_GB2312"/>
          <w:color w:val="auto"/>
          <w:sz w:val="32"/>
          <w:szCs w:val="32"/>
          <w:lang w:eastAsia="zh-CN"/>
        </w:rPr>
        <w:t>住房保障</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住</w:t>
      </w:r>
      <w:r>
        <w:rPr>
          <w:rFonts w:hint="eastAsia" w:ascii="仿宋_GB2312" w:hAnsi="黑体" w:eastAsia="仿宋_GB2312" w:cs="仿宋_GB2312"/>
          <w:sz w:val="32"/>
          <w:szCs w:val="32"/>
          <w:lang w:eastAsia="zh-CN"/>
        </w:rPr>
        <w:t>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17.09</w:t>
      </w:r>
      <w:r>
        <w:rPr>
          <w:rFonts w:hint="eastAsia" w:ascii="仿宋_GB2312" w:hAnsi="黑体" w:eastAsia="仿宋_GB2312"/>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1.67万</w:t>
      </w:r>
      <w:r>
        <w:rPr>
          <w:rFonts w:hint="eastAsia" w:ascii="仿宋_GB2312" w:hAnsi="黑体" w:eastAsia="仿宋_GB2312"/>
          <w:color w:val="auto"/>
          <w:sz w:val="32"/>
          <w:szCs w:val="32"/>
        </w:rPr>
        <w:t>元，主要是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263.8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231.02</w:t>
      </w:r>
      <w:r>
        <w:rPr>
          <w:rFonts w:hint="eastAsia" w:ascii="仿宋_GB2312" w:hAnsi="黑体" w:eastAsia="仿宋_GB2312"/>
          <w:sz w:val="32"/>
          <w:szCs w:val="32"/>
        </w:rPr>
        <w:t>万元，主要包括：基本工资、津贴补贴、奖金、</w:t>
      </w:r>
      <w:r>
        <w:rPr>
          <w:rFonts w:hint="eastAsia" w:ascii="仿宋_GB2312" w:hAnsi="宋体" w:eastAsia="仿宋_GB2312" w:cs="仿宋_GB2312"/>
          <w:color w:val="auto"/>
          <w:kern w:val="2"/>
          <w:sz w:val="32"/>
          <w:szCs w:val="32"/>
          <w:lang w:val="en-US" w:eastAsia="zh-CN" w:bidi="ar-SA"/>
        </w:rPr>
        <w:t>机关事业单位基本养老保险缴费、职业年金缴费、职工基本医疗保险缴费、公务员医疗补助缴费、其他社会保障缴费、住房公积金、医疗费、邮电费、其他交通费用、医疗费补助、奖励金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32.78</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咨询费、手续费、水费、</w:t>
      </w:r>
      <w:r>
        <w:rPr>
          <w:rFonts w:hint="eastAsia" w:ascii="仿宋_GB2312" w:hAnsi="宋体" w:eastAsia="仿宋_GB2312" w:cs="仿宋_GB2312"/>
          <w:color w:val="auto"/>
          <w:kern w:val="2"/>
          <w:sz w:val="32"/>
          <w:szCs w:val="32"/>
          <w:lang w:val="en-US" w:eastAsia="zh-CN" w:bidi="ar-SA"/>
        </w:rPr>
        <w:t>电费、邮电费、物业管理费、差旅费、维修（护）费、租赁费、会议费、培训费、专用材料费、委托业务费、工会经费、公务用车运行维护费、其他商品和服务支出、生活补助、救济费、其他对个人和家庭的补助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，主要原因是没有在预算中安排该费用</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4.85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公务用车运行维护费支出减少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未安排相关计划，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2024年没有</w:t>
      </w:r>
      <w:r>
        <w:rPr>
          <w:rFonts w:hint="eastAsia" w:ascii="仿宋_GB2312" w:hAnsi="黑体" w:eastAsia="仿宋_GB2312"/>
          <w:sz w:val="32"/>
          <w:szCs w:val="32"/>
        </w:rPr>
        <w:t>政府性基金预算。</w:t>
      </w:r>
    </w:p>
    <w:p>
      <w:pPr>
        <w:ind w:firstLine="640" w:firstLineChars="20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，主要是没有这项预算</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，主要是没有这项预算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科学技术</w:t>
      </w:r>
      <w:r>
        <w:rPr>
          <w:rFonts w:hint="eastAsia" w:ascii="仿宋_GB2312" w:hAnsi="黑体" w:eastAsia="仿宋_GB2312"/>
          <w:sz w:val="32"/>
          <w:szCs w:val="32"/>
        </w:rPr>
        <w:t>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28.08</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人员支出有所增加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263.8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67.33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32.67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（单位）的机关运行经费</w:t>
      </w:r>
      <w:r>
        <w:rPr>
          <w:rFonts w:hint="eastAsia" w:ascii="仿宋_GB2312" w:hAnsi="黑体" w:eastAsia="仿宋_GB2312" w:cs="仿宋_GB2312"/>
          <w:color w:val="000000" w:themeColor="text1"/>
          <w:sz w:val="32"/>
          <w:szCs w:val="32"/>
          <w14:textFill>
            <w14:solidFill>
              <w14:schemeClr w14:val="tx1"/>
            </w14:solidFill>
          </w14:textFill>
        </w:rPr>
        <w:t>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38.42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977535"/>
    <w:multiLevelType w:val="singleLevel"/>
    <w:tmpl w:val="65977535"/>
    <w:lvl w:ilvl="0" w:tentative="0">
      <w:start w:val="1"/>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F884A"/>
    <w:rsid w:val="07DD0DFC"/>
    <w:rsid w:val="0BFBDD3E"/>
    <w:rsid w:val="13DC7420"/>
    <w:rsid w:val="16AE0E17"/>
    <w:rsid w:val="17EB2B3D"/>
    <w:rsid w:val="19D5DA33"/>
    <w:rsid w:val="1BBF5BB5"/>
    <w:rsid w:val="1E7F2757"/>
    <w:rsid w:val="1FBE9C5E"/>
    <w:rsid w:val="1FBF8E30"/>
    <w:rsid w:val="1FD49CFF"/>
    <w:rsid w:val="1FFF3CBB"/>
    <w:rsid w:val="26FF27A5"/>
    <w:rsid w:val="2A7D7AC2"/>
    <w:rsid w:val="2BDF0DC0"/>
    <w:rsid w:val="2DBFA875"/>
    <w:rsid w:val="2DD11A59"/>
    <w:rsid w:val="2E97580C"/>
    <w:rsid w:val="2EEBCDE8"/>
    <w:rsid w:val="2F3FE9ED"/>
    <w:rsid w:val="2FF7110D"/>
    <w:rsid w:val="2FFFCED3"/>
    <w:rsid w:val="33BB58DA"/>
    <w:rsid w:val="377FA3C4"/>
    <w:rsid w:val="37CFEBFA"/>
    <w:rsid w:val="37DBEEAF"/>
    <w:rsid w:val="3BFF7398"/>
    <w:rsid w:val="3C6F2E77"/>
    <w:rsid w:val="3D0F6217"/>
    <w:rsid w:val="3D9FF012"/>
    <w:rsid w:val="3DABA4AE"/>
    <w:rsid w:val="3DFFD0E4"/>
    <w:rsid w:val="3F7B3ABD"/>
    <w:rsid w:val="3F7FB4B5"/>
    <w:rsid w:val="3FAD4D11"/>
    <w:rsid w:val="3FB66EEE"/>
    <w:rsid w:val="3FEE33D8"/>
    <w:rsid w:val="3FFB6CB4"/>
    <w:rsid w:val="3FFFCCDD"/>
    <w:rsid w:val="437F4C2B"/>
    <w:rsid w:val="45DBFD7A"/>
    <w:rsid w:val="45FF0A3B"/>
    <w:rsid w:val="477D23D8"/>
    <w:rsid w:val="4BD71CA0"/>
    <w:rsid w:val="4CEA2DF0"/>
    <w:rsid w:val="4DBD8510"/>
    <w:rsid w:val="4DEF40A2"/>
    <w:rsid w:val="4E7F909E"/>
    <w:rsid w:val="4EDF6D6D"/>
    <w:rsid w:val="4F3F87D6"/>
    <w:rsid w:val="4FB80849"/>
    <w:rsid w:val="4FDB2DE0"/>
    <w:rsid w:val="51E3B470"/>
    <w:rsid w:val="52DB763B"/>
    <w:rsid w:val="557D4366"/>
    <w:rsid w:val="55D9166B"/>
    <w:rsid w:val="5729D320"/>
    <w:rsid w:val="57CFE341"/>
    <w:rsid w:val="57EF8E73"/>
    <w:rsid w:val="57F7AAF4"/>
    <w:rsid w:val="57FD06B6"/>
    <w:rsid w:val="57FF5FDD"/>
    <w:rsid w:val="59D76CC2"/>
    <w:rsid w:val="5B7CAC99"/>
    <w:rsid w:val="5CEB5D96"/>
    <w:rsid w:val="5CFF95CA"/>
    <w:rsid w:val="5D2ACACE"/>
    <w:rsid w:val="5D2F3404"/>
    <w:rsid w:val="5DB7E539"/>
    <w:rsid w:val="5DE5D4B9"/>
    <w:rsid w:val="5E9F9643"/>
    <w:rsid w:val="5EBB693F"/>
    <w:rsid w:val="5ECF49A1"/>
    <w:rsid w:val="5ED690C3"/>
    <w:rsid w:val="5EFB97EE"/>
    <w:rsid w:val="5F760FDC"/>
    <w:rsid w:val="5FD36C96"/>
    <w:rsid w:val="5FD380EC"/>
    <w:rsid w:val="5FF755A2"/>
    <w:rsid w:val="5FF7B297"/>
    <w:rsid w:val="5FFB618D"/>
    <w:rsid w:val="5FFE9C09"/>
    <w:rsid w:val="5FFF38E9"/>
    <w:rsid w:val="613FB5D5"/>
    <w:rsid w:val="62DFB5BA"/>
    <w:rsid w:val="62FCA311"/>
    <w:rsid w:val="642FA457"/>
    <w:rsid w:val="64FF69FB"/>
    <w:rsid w:val="66DACB0B"/>
    <w:rsid w:val="675ECE5F"/>
    <w:rsid w:val="67AB218C"/>
    <w:rsid w:val="67EA6B4C"/>
    <w:rsid w:val="67F42E1D"/>
    <w:rsid w:val="696E2680"/>
    <w:rsid w:val="697BF56A"/>
    <w:rsid w:val="69EB03A0"/>
    <w:rsid w:val="69EFADF7"/>
    <w:rsid w:val="6AF3C86A"/>
    <w:rsid w:val="6B6CE30F"/>
    <w:rsid w:val="6C5F9A9B"/>
    <w:rsid w:val="6C7F1319"/>
    <w:rsid w:val="6D7D0824"/>
    <w:rsid w:val="6DBCBBD9"/>
    <w:rsid w:val="6DDF74AC"/>
    <w:rsid w:val="6E3BD2DD"/>
    <w:rsid w:val="6F3FA34A"/>
    <w:rsid w:val="6F55AC41"/>
    <w:rsid w:val="6F767E93"/>
    <w:rsid w:val="6F7B4DCF"/>
    <w:rsid w:val="6FAF0D8D"/>
    <w:rsid w:val="6FAF58A2"/>
    <w:rsid w:val="6FBDDD32"/>
    <w:rsid w:val="6FCFCADC"/>
    <w:rsid w:val="6FDA1D0C"/>
    <w:rsid w:val="6FEFE358"/>
    <w:rsid w:val="6FF99F64"/>
    <w:rsid w:val="6FFA4FE6"/>
    <w:rsid w:val="6FFF9C2C"/>
    <w:rsid w:val="70FFA890"/>
    <w:rsid w:val="71FBF264"/>
    <w:rsid w:val="72DB1815"/>
    <w:rsid w:val="737B04E8"/>
    <w:rsid w:val="73B61E55"/>
    <w:rsid w:val="73C35FC6"/>
    <w:rsid w:val="73ED7784"/>
    <w:rsid w:val="73F7B58E"/>
    <w:rsid w:val="73FF2C01"/>
    <w:rsid w:val="74F5A11E"/>
    <w:rsid w:val="74FFADC3"/>
    <w:rsid w:val="753F58BC"/>
    <w:rsid w:val="755F533E"/>
    <w:rsid w:val="757C35C6"/>
    <w:rsid w:val="75F769D7"/>
    <w:rsid w:val="75FB0B04"/>
    <w:rsid w:val="75FF5477"/>
    <w:rsid w:val="75FF8982"/>
    <w:rsid w:val="76FF86D0"/>
    <w:rsid w:val="77D56349"/>
    <w:rsid w:val="77DDCC7A"/>
    <w:rsid w:val="77DF3D25"/>
    <w:rsid w:val="77EB2843"/>
    <w:rsid w:val="77EBE0B7"/>
    <w:rsid w:val="77EF2664"/>
    <w:rsid w:val="77F1191E"/>
    <w:rsid w:val="77F7ADAD"/>
    <w:rsid w:val="77FDBC64"/>
    <w:rsid w:val="77FFD641"/>
    <w:rsid w:val="79F7B683"/>
    <w:rsid w:val="7A9F71ED"/>
    <w:rsid w:val="7B9E73EC"/>
    <w:rsid w:val="7BBE20A7"/>
    <w:rsid w:val="7BFEB989"/>
    <w:rsid w:val="7BFFBAE3"/>
    <w:rsid w:val="7CDF8415"/>
    <w:rsid w:val="7CF333D8"/>
    <w:rsid w:val="7CFFA393"/>
    <w:rsid w:val="7D73BCCE"/>
    <w:rsid w:val="7D75FED5"/>
    <w:rsid w:val="7D7B1050"/>
    <w:rsid w:val="7D8F8539"/>
    <w:rsid w:val="7D9F3440"/>
    <w:rsid w:val="7DC600CD"/>
    <w:rsid w:val="7DDC5CF2"/>
    <w:rsid w:val="7DDFF74F"/>
    <w:rsid w:val="7DE79FA0"/>
    <w:rsid w:val="7DEBCAFF"/>
    <w:rsid w:val="7DEE90F7"/>
    <w:rsid w:val="7DEFDDC2"/>
    <w:rsid w:val="7DEFDFBB"/>
    <w:rsid w:val="7DFEAD0A"/>
    <w:rsid w:val="7DFF82B1"/>
    <w:rsid w:val="7E8FF2A8"/>
    <w:rsid w:val="7EAAA756"/>
    <w:rsid w:val="7EDD8B29"/>
    <w:rsid w:val="7EEF28E7"/>
    <w:rsid w:val="7EF7AA0F"/>
    <w:rsid w:val="7EFF1752"/>
    <w:rsid w:val="7EFF4985"/>
    <w:rsid w:val="7F57EDA0"/>
    <w:rsid w:val="7F5F3BF5"/>
    <w:rsid w:val="7F5FFBDD"/>
    <w:rsid w:val="7F770B60"/>
    <w:rsid w:val="7F7E04CD"/>
    <w:rsid w:val="7F7F6245"/>
    <w:rsid w:val="7F7FB523"/>
    <w:rsid w:val="7F9FFDED"/>
    <w:rsid w:val="7FA514C2"/>
    <w:rsid w:val="7FAFED27"/>
    <w:rsid w:val="7FB6CE68"/>
    <w:rsid w:val="7FB9E7B6"/>
    <w:rsid w:val="7FBBA62F"/>
    <w:rsid w:val="7FBE91D6"/>
    <w:rsid w:val="7FBF24B4"/>
    <w:rsid w:val="7FBFFFAA"/>
    <w:rsid w:val="7FC74FB5"/>
    <w:rsid w:val="7FCFAD91"/>
    <w:rsid w:val="7FDB7EF5"/>
    <w:rsid w:val="7FDBADB9"/>
    <w:rsid w:val="7FDC8EAF"/>
    <w:rsid w:val="7FDEED32"/>
    <w:rsid w:val="7FEB888E"/>
    <w:rsid w:val="7FEDD00A"/>
    <w:rsid w:val="7FEFB10F"/>
    <w:rsid w:val="7FF73252"/>
    <w:rsid w:val="7FFB5E4F"/>
    <w:rsid w:val="7FFDE9D0"/>
    <w:rsid w:val="7FFDF15C"/>
    <w:rsid w:val="7FFF68AB"/>
    <w:rsid w:val="7FFFE825"/>
    <w:rsid w:val="8C581546"/>
    <w:rsid w:val="8CE52C0A"/>
    <w:rsid w:val="8FDE9049"/>
    <w:rsid w:val="8FF70B9E"/>
    <w:rsid w:val="93F36975"/>
    <w:rsid w:val="956E5B9A"/>
    <w:rsid w:val="96676D2F"/>
    <w:rsid w:val="96FF479C"/>
    <w:rsid w:val="998FD047"/>
    <w:rsid w:val="9B3F1A61"/>
    <w:rsid w:val="9E7F8043"/>
    <w:rsid w:val="9F7D4578"/>
    <w:rsid w:val="9FDF2249"/>
    <w:rsid w:val="A72B439D"/>
    <w:rsid w:val="A75E6C6B"/>
    <w:rsid w:val="A7BB71D5"/>
    <w:rsid w:val="A7FD0777"/>
    <w:rsid w:val="AADF2E0B"/>
    <w:rsid w:val="AE9DF75A"/>
    <w:rsid w:val="AEDB3BF6"/>
    <w:rsid w:val="AF3F5406"/>
    <w:rsid w:val="AFBFED67"/>
    <w:rsid w:val="B67A18C8"/>
    <w:rsid w:val="B75AB520"/>
    <w:rsid w:val="B777B812"/>
    <w:rsid w:val="B777D02C"/>
    <w:rsid w:val="B7FF2B18"/>
    <w:rsid w:val="B9D2CE32"/>
    <w:rsid w:val="B9F29F37"/>
    <w:rsid w:val="BB7F118A"/>
    <w:rsid w:val="BBFD9B1F"/>
    <w:rsid w:val="BD7F6FCA"/>
    <w:rsid w:val="BDFB2155"/>
    <w:rsid w:val="BEC2CD0C"/>
    <w:rsid w:val="BED9B2C9"/>
    <w:rsid w:val="BF5E96B5"/>
    <w:rsid w:val="BF7130EE"/>
    <w:rsid w:val="BF9F6751"/>
    <w:rsid w:val="BFFBBED2"/>
    <w:rsid w:val="BFFD2623"/>
    <w:rsid w:val="C6AF53A3"/>
    <w:rsid w:val="C7DEFE93"/>
    <w:rsid w:val="C7EB2CB0"/>
    <w:rsid w:val="C7FF2307"/>
    <w:rsid w:val="CBF4F103"/>
    <w:rsid w:val="CD2464D5"/>
    <w:rsid w:val="CEE6E7AB"/>
    <w:rsid w:val="D37395C0"/>
    <w:rsid w:val="D39F0A4A"/>
    <w:rsid w:val="D6FB5A60"/>
    <w:rsid w:val="D7FEE88C"/>
    <w:rsid w:val="D9DFFC9B"/>
    <w:rsid w:val="DA7E5F27"/>
    <w:rsid w:val="DA7EAEBE"/>
    <w:rsid w:val="DB67FDE9"/>
    <w:rsid w:val="DBDAC8FD"/>
    <w:rsid w:val="DBF7D8A8"/>
    <w:rsid w:val="DD7B15E5"/>
    <w:rsid w:val="DDFF91A8"/>
    <w:rsid w:val="DE5EC903"/>
    <w:rsid w:val="DE73F098"/>
    <w:rsid w:val="DE7FF6A4"/>
    <w:rsid w:val="DED74A63"/>
    <w:rsid w:val="DEF72248"/>
    <w:rsid w:val="DEFAAC92"/>
    <w:rsid w:val="DEFF07CB"/>
    <w:rsid w:val="DF33D842"/>
    <w:rsid w:val="DF3FF5C5"/>
    <w:rsid w:val="DF5FA0CE"/>
    <w:rsid w:val="DF67B8F3"/>
    <w:rsid w:val="DF6F2E18"/>
    <w:rsid w:val="DF9FF2B3"/>
    <w:rsid w:val="DFB7CD6C"/>
    <w:rsid w:val="DFCB248E"/>
    <w:rsid w:val="DFE352B1"/>
    <w:rsid w:val="DFFF4E72"/>
    <w:rsid w:val="DFFF6264"/>
    <w:rsid w:val="E5BF6D58"/>
    <w:rsid w:val="E5E7B159"/>
    <w:rsid w:val="E65FD28C"/>
    <w:rsid w:val="E6C811BD"/>
    <w:rsid w:val="E79BB625"/>
    <w:rsid w:val="E8ABC73D"/>
    <w:rsid w:val="EADF8E6B"/>
    <w:rsid w:val="EAF73787"/>
    <w:rsid w:val="EAFBDFD2"/>
    <w:rsid w:val="EBBFFA93"/>
    <w:rsid w:val="EBEBA0A1"/>
    <w:rsid w:val="EDD70FF7"/>
    <w:rsid w:val="EDF6C811"/>
    <w:rsid w:val="EDF95B6B"/>
    <w:rsid w:val="EE3F3693"/>
    <w:rsid w:val="EEFBBFF8"/>
    <w:rsid w:val="EEFE50DA"/>
    <w:rsid w:val="EF599910"/>
    <w:rsid w:val="EF8F4372"/>
    <w:rsid w:val="EF9F9F5F"/>
    <w:rsid w:val="EFC7EDE6"/>
    <w:rsid w:val="EFCCF60F"/>
    <w:rsid w:val="EFCE51FB"/>
    <w:rsid w:val="EFFB5261"/>
    <w:rsid w:val="EFFDE477"/>
    <w:rsid w:val="EFFF834D"/>
    <w:rsid w:val="F08AC3FA"/>
    <w:rsid w:val="F37DA8A0"/>
    <w:rsid w:val="F37EB839"/>
    <w:rsid w:val="F3B16248"/>
    <w:rsid w:val="F3DAEB57"/>
    <w:rsid w:val="F5BA975D"/>
    <w:rsid w:val="F5E77B11"/>
    <w:rsid w:val="F5F3BE52"/>
    <w:rsid w:val="F5F720F6"/>
    <w:rsid w:val="F5FF1FD8"/>
    <w:rsid w:val="F5FFB9D9"/>
    <w:rsid w:val="F6DEF973"/>
    <w:rsid w:val="F6EFF5B5"/>
    <w:rsid w:val="F6FFF24A"/>
    <w:rsid w:val="F71B215C"/>
    <w:rsid w:val="F75FC4A3"/>
    <w:rsid w:val="F79BDE5C"/>
    <w:rsid w:val="F7CF93EF"/>
    <w:rsid w:val="F7DB6763"/>
    <w:rsid w:val="F7DFC8DA"/>
    <w:rsid w:val="F7FBC835"/>
    <w:rsid w:val="F7FD90DB"/>
    <w:rsid w:val="F7FEEAB8"/>
    <w:rsid w:val="F7FF525E"/>
    <w:rsid w:val="F7FF9A54"/>
    <w:rsid w:val="F8EFEF31"/>
    <w:rsid w:val="F9C7DC70"/>
    <w:rsid w:val="F9F39EA2"/>
    <w:rsid w:val="F9FFBCC7"/>
    <w:rsid w:val="FABFC860"/>
    <w:rsid w:val="FB3D6908"/>
    <w:rsid w:val="FB3F19F5"/>
    <w:rsid w:val="FB79D98F"/>
    <w:rsid w:val="FB7F19C7"/>
    <w:rsid w:val="FB7FC8F3"/>
    <w:rsid w:val="FBB7B09C"/>
    <w:rsid w:val="FBD2986D"/>
    <w:rsid w:val="FBEEF8F2"/>
    <w:rsid w:val="FBF55050"/>
    <w:rsid w:val="FBFB2D3F"/>
    <w:rsid w:val="FBFBA12F"/>
    <w:rsid w:val="FBFF5F13"/>
    <w:rsid w:val="FCCF98A7"/>
    <w:rsid w:val="FCD7E945"/>
    <w:rsid w:val="FCEF298F"/>
    <w:rsid w:val="FD38C5B4"/>
    <w:rsid w:val="FD5BAB89"/>
    <w:rsid w:val="FD5FED16"/>
    <w:rsid w:val="FD6D5AFB"/>
    <w:rsid w:val="FD7E80A3"/>
    <w:rsid w:val="FDD70B9B"/>
    <w:rsid w:val="FDDDD22A"/>
    <w:rsid w:val="FDF81FB6"/>
    <w:rsid w:val="FE49D4B6"/>
    <w:rsid w:val="FEB7BAAB"/>
    <w:rsid w:val="FEBFD9FD"/>
    <w:rsid w:val="FEC524C6"/>
    <w:rsid w:val="FEF5795A"/>
    <w:rsid w:val="FEFF393A"/>
    <w:rsid w:val="FF1D4DC2"/>
    <w:rsid w:val="FF27F184"/>
    <w:rsid w:val="FF4CC8F5"/>
    <w:rsid w:val="FF4FBC5C"/>
    <w:rsid w:val="FF5B8624"/>
    <w:rsid w:val="FF5D432D"/>
    <w:rsid w:val="FF5F80A7"/>
    <w:rsid w:val="FF652716"/>
    <w:rsid w:val="FF7AB122"/>
    <w:rsid w:val="FF97A2BC"/>
    <w:rsid w:val="FFBB5A1F"/>
    <w:rsid w:val="FFDD2A89"/>
    <w:rsid w:val="FFDF07AE"/>
    <w:rsid w:val="FFDFE8B8"/>
    <w:rsid w:val="FFE22EE3"/>
    <w:rsid w:val="FFE7817F"/>
    <w:rsid w:val="FFEE7914"/>
    <w:rsid w:val="FFEF5597"/>
    <w:rsid w:val="FFF4E2CB"/>
    <w:rsid w:val="FFFA5761"/>
    <w:rsid w:val="FFFB93CF"/>
    <w:rsid w:val="FFFDD49D"/>
    <w:rsid w:val="FFFE42DF"/>
    <w:rsid w:val="FFFEFEEB"/>
    <w:rsid w:val="FFFF3CB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lenovo</cp:lastModifiedBy>
  <dcterms:modified xsi:type="dcterms:W3CDTF">2024-02-06T11:05:10Z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